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w:rPr>
          <w:lang w:eastAsia="ru-RU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-1102042</wp:posOffset>
                </wp:positionH>
                <wp:positionV relativeFrom="paragraph">
                  <wp:posOffset>-908367</wp:posOffset>
                </wp:positionV>
                <wp:extent cx="7604125" cy="10763885"/>
                <wp:effectExtent l="0" t="0" r="0" b="0"/>
                <wp:wrapNone/>
                <wp:docPr id="1" name="Picture 27258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81185" name="Picture 272585"/>
                        <pic:cNvPicPr/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 rot="0" flipH="0" flipV="0">
                          <a:off x="0" y="0"/>
                          <a:ext cx="7604124" cy="10763884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z-index:-251673600;o:allowoverlap:true;o:allowincell:true;mso-position-horizontal-relative:text;margin-left:-86.8pt;mso-position-horizontal:absolute;mso-position-vertical-relative:text;margin-top:-71.5pt;mso-position-vertical:absolute;width:598.8pt;height:847.5pt;mso-wrap-distance-left:9.0pt;mso-wrap-distance-top:0.0pt;mso-wrap-distance-right:9.0pt;mso-wrap-distance-bottom:0.0pt;rotation:0;" stroked="false">
                <v:path textboxrect="0,0,0,0"/>
                <v:imagedata r:id="rId9" o:title=""/>
              </v:shape>
            </w:pict>
          </mc:Fallback>
        </mc:AlternateContent>
      </w:r>
      <w:r>
        <w:rPr>
          <w:lang w:eastAsia="ru-RU"/>
        </w:rPr>
      </w:r>
      <w:r>
        <w:rPr>
          <w:lang w:eastAsia="ru-RU"/>
        </w:rPr>
      </w:r>
      <w:r>
        <w:rPr>
          <w:lang w:eastAsia="ru-RU"/>
        </w:rPr>
      </w:r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  <w:r/>
      <w:r/>
    </w:p>
    <w:p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3434609</wp:posOffset>
                </wp:positionH>
                <wp:positionV relativeFrom="paragraph">
                  <wp:posOffset>142776</wp:posOffset>
                </wp:positionV>
                <wp:extent cx="2972223" cy="518160"/>
                <wp:effectExtent l="0" t="0" r="0" b="0"/>
                <wp:wrapNone/>
                <wp:docPr id="2" name="Picture 1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03782782" name="Picture 12"/>
                        <pic:cNvPicPr/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 rot="0" flipH="0" flipV="0">
                          <a:off x="0" y="0"/>
                          <a:ext cx="2972223" cy="518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position:absolute;z-index:251678720;o:allowoverlap:true;o:allowincell:true;mso-position-horizontal-relative:text;margin-left:270.4pt;mso-position-horizontal:absolute;mso-position-vertical-relative:text;margin-top:11.2pt;mso-position-vertical:absolute;width:234.0pt;height:40.8pt;mso-wrap-distance-left:9.0pt;mso-wrap-distance-top:0.0pt;mso-wrap-distance-right:9.0pt;mso-wrap-distance-bottom:0.0pt;rotation:0;" stroked="false">
                <v:path textboxrect="0,0,0,0"/>
                <v:imagedata r:id="rId10" o:title=""/>
              </v:shape>
            </w:pict>
          </mc:Fallback>
        </mc:AlternateContent>
      </w:r>
      <w:r/>
      <w:r/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562292</wp:posOffset>
                </wp:positionH>
                <wp:positionV relativeFrom="paragraph">
                  <wp:posOffset>78959</wp:posOffset>
                </wp:positionV>
                <wp:extent cx="5939790" cy="645795"/>
                <wp:effectExtent l="0" t="0" r="0" b="0"/>
                <wp:wrapNone/>
                <wp:docPr id="3" name="Shape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5939789" cy="6457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9795" h="646271" fill="norm" stroke="1" extrusionOk="0">
                              <a:moveTo>
                                <a:pt x="0" y="629076"/>
                              </a:moveTo>
                              <a:lnTo>
                                <a:pt x="63413" y="629076"/>
                              </a:lnTo>
                              <a:lnTo>
                                <a:pt x="321856" y="369701"/>
                              </a:lnTo>
                              <a:lnTo>
                                <a:pt x="467772" y="516142"/>
                              </a:lnTo>
                              <a:lnTo>
                                <a:pt x="505253" y="478526"/>
                              </a:lnTo>
                              <a:lnTo>
                                <a:pt x="535181" y="508561"/>
                              </a:lnTo>
                              <a:lnTo>
                                <a:pt x="1041914" y="0"/>
                              </a:lnTo>
                              <a:lnTo>
                                <a:pt x="1197668" y="156320"/>
                              </a:lnTo>
                              <a:lnTo>
                                <a:pt x="1250179" y="103618"/>
                              </a:lnTo>
                              <a:lnTo>
                                <a:pt x="1585253" y="439905"/>
                              </a:lnTo>
                              <a:lnTo>
                                <a:pt x="1902174" y="121835"/>
                              </a:lnTo>
                              <a:lnTo>
                                <a:pt x="2273151" y="494150"/>
                              </a:lnTo>
                              <a:lnTo>
                                <a:pt x="2389342" y="377540"/>
                              </a:lnTo>
                              <a:lnTo>
                                <a:pt x="2466034" y="377540"/>
                              </a:lnTo>
                              <a:lnTo>
                                <a:pt x="2733796" y="646271"/>
                              </a:lnTo>
                              <a:lnTo>
                                <a:pt x="5939795" y="646271"/>
                              </a:lnTo>
                            </a:path>
                          </a:pathLst>
                        </a:custGeom>
                        <a:ln w="57793" cap="flat">
                          <a:miter lim="127000"/>
                        </a:ln>
                      </wps:spPr>
                      <wps:style>
                        <a:lnRef idx="1">
                          <a:srgbClr val="FFFFFF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rgbClr val="000000"/>
                        </a:effectRef>
                        <a:fontRef idx="none"/>
                      </wps:style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2" o:spid="_x0000_s2" style="position:absolute;z-index:251676672;o:allowoverlap:true;o:allowincell:true;mso-position-horizontal-relative:text;margin-left:44.3pt;mso-position-horizontal:absolute;mso-position-vertical-relative:text;margin-top:6.2pt;mso-position-vertical:absolute;width:467.7pt;height:50.8pt;mso-wrap-distance-left:9.0pt;mso-wrap-distance-top:0.0pt;mso-wrap-distance-right:9.0pt;mso-wrap-distance-bottom:0.0pt;rotation:0;visibility:visible;" path="m0,97338l1067,97338l5417,57204l7875,79863l8505,74044l9009,78690l17539,0l20162,24188l21046,16032l26688,68067l32023,18852l38269,76461l40225,58417l41516,58417l46023,100000l100000,100000e" coordsize="100000,100000" filled="f" strokecolor="#F1F1F1" strokeweight="4.55pt">
                <v:path textboxrect="0,0,0,0"/>
              </v:shape>
            </w:pict>
          </mc:Fallback>
        </mc:AlternateContent>
      </w:r>
      <w:r/>
      <w:r/>
      <w:r/>
      <w:r/>
    </w:p>
    <w:p>
      <w:r/>
      <w:r/>
      <w:r/>
      <w:r/>
      <w:r/>
      <w:r/>
    </w:p>
    <w:p>
      <w:r/>
      <w:r/>
      <w:r/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-1102042</wp:posOffset>
                </wp:positionH>
                <wp:positionV relativeFrom="paragraph">
                  <wp:posOffset>101278</wp:posOffset>
                </wp:positionV>
                <wp:extent cx="7980045" cy="2109568"/>
                <wp:effectExtent l="0" t="0" r="0" b="0"/>
                <wp:wrapNone/>
                <wp:docPr id="4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rot="0" flipH="0" flipV="0">
                          <a:off x="0" y="0"/>
                          <a:ext cx="7980044" cy="2109567"/>
                        </a:xfrm>
                        <a:prstGeom prst="rect">
                          <a:avLst/>
                        </a:prstGeom>
                        <a:solidFill>
                          <a:srgbClr val="173A68">
                            <a:alpha val="53926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ind w:left="-567" w:right="141"/>
                              <w:jc w:val="center"/>
                              <w:spacing w:after="0" w:line="240" w:lineRule="auto"/>
                            </w:pP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ПЕРЕЧЕНЬ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</w:r>
                            <w:r/>
                          </w:p>
                          <w:p>
                            <w:pPr>
                              <w:jc w:val="center"/>
                            </w:pP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БАЗОВЫХ 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РЕШЕНИ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Й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ДЛЯ 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ЭКОЛОГИЧЕСКОГО 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СТРОИТЕЛЬСТВА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 </w:t>
                            </w:r>
                            <w:r>
                              <w:rPr>
                                <w:rFonts w:ascii="Cera CY" w:hAnsi="Cera CY" w:cs="Arial"/>
                                <w:b/>
                                <w:color w:val="ffffff" w:themeColor="background1"/>
                                <w:sz w:val="44"/>
                                <w:szCs w:val="44"/>
                              </w:rPr>
                              <w:t xml:space="preserve">ОБЪЕКТОВ ТУРИСТИЧЕСКОЙ ИНФРАСТРУКТУРЫ</w:t>
                            </w:r>
                            <w:r/>
                            <w:r/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-251674624;o:allowoverlap:true;o:allowincell:true;mso-position-horizontal-relative:text;margin-left:-86.8pt;mso-position-horizontal:absolute;mso-position-vertical-relative:text;margin-top:8.0pt;mso-position-vertical:absolute;width:628.4pt;height:166.1pt;mso-wrap-distance-left:9.0pt;mso-wrap-distance-top:0.0pt;mso-wrap-distance-right:9.0pt;mso-wrap-distance-bottom:0.0pt;rotation:0;v-text-anchor:middle;visibility:visible;" fillcolor="#173A68" stroked="f" strokeweight="1.00pt">
                <v:fill opacity="-35109f"/>
                <v:textbox inset="0,0,0,0">
                  <w:txbxContent>
                    <w:p>
                      <w:pPr>
                        <w:ind w:left="-567" w:right="141"/>
                        <w:jc w:val="center"/>
                        <w:spacing w:after="0" w:line="240" w:lineRule="auto"/>
                      </w:pP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ПЕРЕЧЕНЬ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</w:r>
                      <w:r/>
                    </w:p>
                    <w:p>
                      <w:pPr>
                        <w:jc w:val="center"/>
                      </w:pP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БАЗОВЫХ 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РЕШЕНИ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Й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ДЛЯ 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ЭКОЛОГИЧЕСКОГО 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СТРОИТЕЛЬСТВА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 </w:t>
                      </w:r>
                      <w:r>
                        <w:rPr>
                          <w:rFonts w:ascii="Cera CY" w:hAnsi="Cera CY" w:cs="Arial"/>
                          <w:b/>
                          <w:color w:val="ffffff" w:themeColor="background1"/>
                          <w:sz w:val="44"/>
                          <w:szCs w:val="44"/>
                        </w:rPr>
                        <w:t xml:space="preserve">ОБЪЕКТОВ ТУРИСТИЧЕСКОЙ ИНФРАСТРУКТУРЫ</w:t>
                      </w:r>
                      <w:r/>
                      <w:r/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  <w:r/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>
        <w:rPr>
          <w:lang w:eastAsia="ru-RU"/>
        </w:rPr>
      </w:r>
      <w:r/>
      <w:r/>
    </w:p>
    <w:p>
      <w:pPr>
        <w:ind w:right="-34"/>
        <w:jc w:val="center"/>
        <w:spacing w:after="0" w:line="240" w:lineRule="auto"/>
      </w:pPr>
      <w:r>
        <w:rPr>
          <w:rFonts w:ascii="Times New Roman" w:hAnsi="Times New Roman" w:cs="Times New Roman"/>
          <w:b/>
          <w:bCs/>
          <w:sz w:val="28"/>
          <w:szCs w:val="26"/>
          <w:lang w:val="en-US"/>
        </w:rPr>
        <w:t xml:space="preserve">C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ОДЕРЖАНИ</w:t>
      </w:r>
      <w:r>
        <w:rPr>
          <w:rFonts w:ascii="Times New Roman" w:hAnsi="Times New Roman" w:cs="Times New Roman"/>
          <w:b/>
          <w:bCs/>
          <w:sz w:val="28"/>
          <w:szCs w:val="26"/>
        </w:rPr>
        <w:t xml:space="preserve">Е</w:t>
      </w:r>
      <w:r>
        <w:rPr>
          <w:rFonts w:ascii="Times New Roman" w:hAnsi="Times New Roman" w:cs="Times New Roman"/>
          <w:b/>
          <w:bCs/>
          <w:sz w:val="28"/>
          <w:szCs w:val="26"/>
        </w:rPr>
      </w:r>
      <w:r/>
    </w:p>
    <w:tbl>
      <w:tblPr>
        <w:tblStyle w:val="48"/>
        <w:tblW w:w="10206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709"/>
        <w:gridCol w:w="7659"/>
        <w:gridCol w:w="1134"/>
      </w:tblGrid>
      <w:tr>
        <w:trPr>
          <w:trHeight w:val="420"/>
        </w:trPr>
        <w:tc>
          <w:tcPr>
            <w:tcW w:w="704" w:type="dxa"/>
            <w:vAlign w:val="bottom"/>
            <w:textDirection w:val="lrTb"/>
            <w:noWrap w:val="false"/>
          </w:tcPr>
          <w:p>
            <w:pPr>
              <w:pStyle w:val="603"/>
              <w:ind w:left="0" w:right="-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  <w:tc>
          <w:tcPr>
            <w:gridSpan w:val="2"/>
            <w:shd w:val="clear" w:color="ffffff" w:fill="ffffff"/>
            <w:tcW w:w="8368" w:type="dxa"/>
            <w:vAlign w:val="bottom"/>
            <w:textDirection w:val="lrTb"/>
            <w:noWrap w:val="false"/>
          </w:tcPr>
          <w:p>
            <w:pPr>
              <w:ind w:right="-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Общие положения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420"/>
        </w:trPr>
        <w:tc>
          <w:tcPr>
            <w:tcW w:w="704" w:type="dxa"/>
            <w:textDirection w:val="lrTb"/>
            <w:noWrap w:val="false"/>
          </w:tcPr>
          <w:p>
            <w:pPr>
              <w:pStyle w:val="603"/>
              <w:ind w:left="0" w:right="-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  <w:tc>
          <w:tcPr>
            <w:gridSpan w:val="2"/>
            <w:shd w:val="clear" w:color="ffffff" w:fill="ffffff"/>
            <w:tcW w:w="8368" w:type="dxa"/>
            <w:vAlign w:val="bottom"/>
            <w:textDirection w:val="lrTb"/>
            <w:noWrap w:val="false"/>
          </w:tcPr>
          <w:p>
            <w:pPr>
              <w:ind w:right="-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Нормативные правовые акты и рекомендации в области устойчивого развития и «зеленого» строительства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420"/>
        </w:trPr>
        <w:tc>
          <w:tcPr>
            <w:tcW w:w="704" w:type="dxa"/>
            <w:textDirection w:val="lrTb"/>
            <w:noWrap w:val="false"/>
          </w:tcPr>
          <w:p>
            <w:pPr>
              <w:pStyle w:val="603"/>
              <w:ind w:left="0" w:right="-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III.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  <w:tc>
          <w:tcPr>
            <w:gridSpan w:val="2"/>
            <w:shd w:val="clear" w:color="ffffff" w:fill="ffffff"/>
            <w:tcW w:w="8368" w:type="dxa"/>
            <w:vAlign w:val="bottom"/>
            <w:textDirection w:val="lrTb"/>
            <w:noWrap w:val="false"/>
          </w:tcPr>
          <w:p>
            <w:pPr>
              <w:ind w:right="-3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Характеристика базовых решений «зеленого» строительства, рекомендуемые АО «Корпорация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Туризм.РФ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» при строительстве туристической инфраструктуры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shd w:val="clear" w:color="ffffff" w:fill="ffffff"/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420"/>
        </w:trPr>
        <w:tc>
          <w:tcPr>
            <w:tcW w:w="704" w:type="dxa"/>
            <w:vMerge w:val="restart"/>
            <w:textDirection w:val="lrTb"/>
            <w:noWrap w:val="false"/>
          </w:tcPr>
          <w:p>
            <w:pPr>
              <w:pStyle w:val="603"/>
              <w:ind w:left="0"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gridSpan w:val="3"/>
            <w:shd w:val="clear" w:color="ffffff" w:fill="ffffff"/>
            <w:tcW w:w="9502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1.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Охрана окружающей среды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r>
            <w:r/>
          </w:p>
        </w:tc>
      </w:tr>
      <w:tr>
        <w:trPr>
          <w:trHeight w:val="36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Определение и сохранение экологической ценности участка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Сокращение локального перегрева и озеленение территории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6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Сокращение светового загрязнения среды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6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Сокращение шумового загрязнения среды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6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Сокращение загрязнения атмосферного воздуха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1.6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Регулирование водного баланса территории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435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pStyle w:val="603"/>
              <w:ind w:left="0" w:right="-35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  <w:tc>
          <w:tcPr>
            <w:gridSpan w:val="3"/>
            <w:shd w:val="clear" w:color="ffffff" w:fill="ffffff"/>
            <w:tcW w:w="9502" w:type="dxa"/>
            <w:vAlign w:val="bottom"/>
            <w:textDirection w:val="lrTb"/>
            <w:noWrap w:val="false"/>
          </w:tcPr>
          <w:p>
            <w:pPr>
              <w:pStyle w:val="603"/>
              <w:ind w:left="0" w:right="-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Качество внутренней среды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Повышение качества внутреннего воздуха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качества воды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</w:t>
            </w:r>
            <w: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Обеспечение акустического комфорта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регулирование параметров микроклимата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420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  <w:tc>
          <w:tcPr>
            <w:gridSpan w:val="3"/>
            <w:shd w:val="clear" w:color="ffffff" w:fill="ffffff"/>
            <w:tcW w:w="9502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Ответственное применение материалов 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сертифицированной древесины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29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6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местных строительных материалов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экологичных строительных и отделочных материалов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3.4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Применение технологии быстровозводимого строительства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435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  <w:tc>
          <w:tcPr>
            <w:gridSpan w:val="3"/>
            <w:shd w:val="clear" w:color="ffffff" w:fill="ffffff"/>
            <w:tcW w:w="9502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4.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Энергоэффективность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Энергоэффективность (комплекс мероприятий)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4.2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Учет энергоресурсов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420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  <w:tc>
          <w:tcPr>
            <w:gridSpan w:val="3"/>
            <w:shd w:val="clear" w:color="ffffff" w:fill="ffffff"/>
            <w:tcW w:w="9502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5.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Водоэффективность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</w:r>
            <w:r/>
          </w:p>
        </w:tc>
      </w:tr>
      <w:tr>
        <w:trPr>
          <w:trHeight w:val="36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Водоэффективность (комплекс мероприятий)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6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5.2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Сбор серой воды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38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62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5.3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Сбор дождевой воды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39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420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  <w:tc>
          <w:tcPr>
            <w:gridSpan w:val="3"/>
            <w:shd w:val="clear" w:color="ffffff" w:fill="ffffff"/>
            <w:tcW w:w="9502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 xml:space="preserve">6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Управление отходами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6.1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раздельного сбора отходов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0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435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  <w:tc>
          <w:tcPr>
            <w:gridSpan w:val="3"/>
            <w:shd w:val="clear" w:color="ffffff" w:fill="ffffff"/>
            <w:tcW w:w="9502" w:type="dxa"/>
            <w:vAlign w:val="bottom"/>
            <w:textDirection w:val="lrTb"/>
            <w:noWrap w:val="false"/>
          </w:tcPr>
          <w:p>
            <w:pPr>
              <w:pStyle w:val="603"/>
              <w:numPr>
                <w:ilvl w:val="0"/>
                <w:numId w:val="4"/>
              </w:numPr>
              <w:ind w:left="320" w:right="-35" w:hanging="283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Инклюзивность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vMerge w:val="continue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09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7.1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7659" w:type="dxa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Инклюзивность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3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  <w:tr>
        <w:trPr>
          <w:trHeight w:val="347"/>
        </w:trPr>
        <w:tc>
          <w:tcPr>
            <w:tcW w:w="704" w:type="dxa"/>
            <w:textDirection w:val="lrTb"/>
            <w:noWrap w:val="false"/>
          </w:tcPr>
          <w:p>
            <w:pPr>
              <w:ind w:right="-35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IV.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gridSpan w:val="2"/>
            <w:tcW w:w="8368" w:type="dxa"/>
            <w:vAlign w:val="bottom"/>
            <w:textDirection w:val="lrTb"/>
            <w:noWrap w:val="false"/>
          </w:tcPr>
          <w:p>
            <w:pPr>
              <w:ind w:right="-3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  <w:tc>
          <w:tcPr>
            <w:tcW w:w="113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4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/>
          </w:p>
        </w:tc>
      </w:tr>
    </w:tbl>
    <w:p>
      <w:pPr>
        <w:ind w:right="-35"/>
        <w:spacing w:after="0" w:line="240" w:lineRule="auto"/>
      </w:pPr>
      <w:r>
        <w:rPr>
          <w:rFonts w:ascii="Cera CY" w:hAnsi="Cera CY" w:cs="AppleSystemUIFont"/>
          <w:b/>
          <w:bCs/>
        </w:rPr>
      </w:r>
      <w:r>
        <w:rPr>
          <w:rFonts w:ascii="Cera CY" w:hAnsi="Cera CY" w:cs="AppleSystemUIFont"/>
          <w:b/>
          <w:bCs/>
        </w:rPr>
      </w:r>
      <w:r/>
    </w:p>
    <w:p>
      <w:r>
        <w:rPr>
          <w:rFonts w:ascii="Cera CY" w:hAnsi="Cera CY" w:cs="AppleSystemUIFont"/>
          <w:b/>
          <w:bCs/>
        </w:rPr>
        <w:br w:type="page" w:clear="all"/>
      </w:r>
      <w:r>
        <w:rPr>
          <w:rFonts w:ascii="Cera CY" w:hAnsi="Cera CY" w:cs="AppleSystemUIFont"/>
          <w:b/>
          <w:bCs/>
        </w:rPr>
      </w:r>
      <w:r/>
    </w:p>
    <w:p>
      <w:pPr>
        <w:pStyle w:val="603"/>
        <w:numPr>
          <w:ilvl w:val="0"/>
          <w:numId w:val="3"/>
        </w:numPr>
        <w:ind w:left="0" w:right="-35" w:firstLine="0"/>
        <w:jc w:val="center"/>
        <w:spacing w:after="0" w:line="276" w:lineRule="auto"/>
        <w:tabs>
          <w:tab w:val="left" w:pos="284" w:leader="none"/>
          <w:tab w:val="left" w:pos="3261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ОБЩИЕ ПОЛОЖЕНИЯ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jc w:val="center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Формирование экологических требований к объектам туристической инфраструктуры </w:t>
      </w:r>
      <w:r>
        <w:rPr>
          <w:rFonts w:ascii="Times New Roman" w:hAnsi="Times New Roman" w:cs="Times New Roman"/>
          <w:sz w:val="26"/>
          <w:szCs w:val="26"/>
        </w:rPr>
        <w:t xml:space="preserve">основано на соблюдении принципа устойчивого развития общества. Этот принцип заключается в том, что при осуществлении градостроительной деятельности</w:t>
      </w:r>
      <w:r>
        <w:rPr>
          <w:rFonts w:ascii="Times New Roman" w:hAnsi="Times New Roman" w:cs="Times New Roman"/>
          <w:sz w:val="26"/>
          <w:szCs w:val="26"/>
        </w:rPr>
        <w:t xml:space="preserve"> обеспечиваются безопасность и бла</w:t>
      </w:r>
      <w:r>
        <w:rPr>
          <w:rFonts w:ascii="Times New Roman" w:hAnsi="Times New Roman" w:cs="Times New Roman"/>
          <w:sz w:val="26"/>
          <w:szCs w:val="26"/>
        </w:rPr>
        <w:t xml:space="preserve">гоприятные условия жизнедеятельности человека, ограничивается негативное воздействие хозяйственной и иной деятельности на окружающую среду и обеспечивается охрана и рациональное использование природных ресурсов в интересах настоящего и будущего поколений.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Реализация принципа устойчивого развития сопряжена со следующими аспектами человеческой деятельности: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"/>
        </w:numPr>
        <w:contextualSpacing w:val="0"/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социально-культурным;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"/>
        </w:numPr>
        <w:contextualSpacing w:val="0"/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экологическим;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"/>
        </w:numPr>
        <w:contextualSpacing w:val="0"/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экономическим.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Социально-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культурный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аспект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формирует категории оценки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потребностей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отражающие представления современного поколения о качестве жизни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, категории оценки сохранения культурной и территориальной идентичности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Экологический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 аспект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формирует категории оценки потребления природных ресурсов, отражающие стремление современного поколения обеспечить для следующих поколений справедливое право на пользование невозобновляемыми и возобновляемыми ресурсами Земли.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Экономический</w:t>
      </w:r>
      <w:r>
        <w:rPr>
          <w:rFonts w:ascii="Times New Roman" w:hAnsi="Times New Roman" w:eastAsia="Times New Roman" w:cs="Times New Roman"/>
          <w:b/>
          <w:bCs/>
          <w:sz w:val="26"/>
          <w:szCs w:val="26"/>
          <w:lang w:eastAsia="ru-RU"/>
        </w:rPr>
        <w:t xml:space="preserve"> аспект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формирует категории оценки соотношения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потребностей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и потребления, отражающие стремление к снижению стоимости жизненного цикла объекта 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туристической инфраструктуры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: экономической эффективности эксплуатации объектов и сокращения затрат</w:t>
      </w:r>
      <w:r>
        <w:rPr>
          <w:rFonts w:ascii="Times New Roman" w:hAnsi="Times New Roman" w:eastAsia="Times New Roman" w:cs="Times New Roman"/>
          <w:sz w:val="26"/>
          <w:szCs w:val="26"/>
          <w:lang w:eastAsia="ru-RU"/>
        </w:rPr>
        <w:t xml:space="preserve"> при его эксплуатации.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В рамках </w:t>
      </w:r>
      <w:r>
        <w:rPr>
          <w:rFonts w:ascii="Times New Roman" w:hAnsi="Times New Roman" w:cs="Times New Roman"/>
          <w:sz w:val="26"/>
          <w:szCs w:val="26"/>
        </w:rPr>
        <w:t xml:space="preserve">настоящего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Перечня базовых решений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рассматривается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экологический аспект </w:t>
      </w:r>
      <w:r>
        <w:rPr>
          <w:rFonts w:ascii="Times New Roman" w:hAnsi="Times New Roman" w:cs="Times New Roman"/>
          <w:sz w:val="26"/>
          <w:szCs w:val="26"/>
        </w:rPr>
        <w:t xml:space="preserve">строительства туристической инфраструктуры, который включает в себя: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2"/>
        </w:numPr>
        <w:contextualSpacing w:val="0"/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мероприятия </w:t>
      </w:r>
      <w:r>
        <w:rPr>
          <w:rFonts w:ascii="Times New Roman" w:hAnsi="Times New Roman" w:cs="Times New Roman"/>
          <w:sz w:val="26"/>
          <w:szCs w:val="26"/>
        </w:rPr>
        <w:t xml:space="preserve">и решения, направленные </w:t>
      </w:r>
      <w:r>
        <w:rPr>
          <w:rFonts w:ascii="Times New Roman" w:hAnsi="Times New Roman" w:cs="Times New Roman"/>
          <w:sz w:val="26"/>
          <w:szCs w:val="26"/>
        </w:rPr>
        <w:t xml:space="preserve">на </w:t>
      </w:r>
      <w:r>
        <w:rPr>
          <w:rFonts w:ascii="Times New Roman" w:hAnsi="Times New Roman" w:cs="Times New Roman"/>
          <w:sz w:val="26"/>
          <w:szCs w:val="26"/>
        </w:rPr>
        <w:t xml:space="preserve">минимизацию негативного воздействия на окружающую среду </w:t>
      </w:r>
      <w:r>
        <w:rPr>
          <w:rFonts w:ascii="Times New Roman" w:hAnsi="Times New Roman" w:cs="Times New Roman"/>
          <w:sz w:val="26"/>
          <w:szCs w:val="26"/>
        </w:rPr>
        <w:t xml:space="preserve">при строительстве и эксплуатации объектов туристической инфраструктуры;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2"/>
        </w:numPr>
        <w:contextualSpacing w:val="0"/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технологии </w:t>
      </w:r>
      <w:r>
        <w:rPr>
          <w:rFonts w:ascii="Times New Roman" w:hAnsi="Times New Roman" w:cs="Times New Roman"/>
          <w:sz w:val="26"/>
          <w:szCs w:val="26"/>
        </w:rPr>
        <w:t xml:space="preserve">«зеленого» строительства</w:t>
      </w:r>
      <w:r>
        <w:rPr>
          <w:rFonts w:ascii="Times New Roman" w:hAnsi="Times New Roman" w:cs="Times New Roman"/>
          <w:sz w:val="26"/>
          <w:szCs w:val="26"/>
        </w:rPr>
        <w:t xml:space="preserve"> (</w:t>
      </w:r>
      <w:r>
        <w:rPr>
          <w:rFonts w:ascii="Times New Roman" w:hAnsi="Times New Roman" w:cs="Times New Roman"/>
          <w:sz w:val="26"/>
          <w:szCs w:val="26"/>
        </w:rPr>
        <w:t xml:space="preserve">экологического </w:t>
      </w:r>
      <w:r>
        <w:rPr>
          <w:rFonts w:ascii="Times New Roman" w:hAnsi="Times New Roman" w:cs="Times New Roman"/>
          <w:sz w:val="26"/>
          <w:szCs w:val="26"/>
        </w:rPr>
        <w:t xml:space="preserve">строительства)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обеспечивающие сокращение потребления ресурсов и расходов на эксплуатацию объектов в период</w:t>
      </w:r>
      <w:r>
        <w:rPr>
          <w:rFonts w:ascii="Times New Roman" w:hAnsi="Times New Roman" w:cs="Times New Roman"/>
          <w:sz w:val="26"/>
          <w:szCs w:val="26"/>
        </w:rPr>
        <w:t xml:space="preserve"> эксплуатации.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contextualSpacing w:val="0"/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В Российской Федерации экологические требования к объектам строительства регулируются федеральными законами, постановлениями </w:t>
      </w:r>
      <w:r>
        <w:rPr>
          <w:rFonts w:ascii="Times New Roman" w:hAnsi="Times New Roman" w:cs="Times New Roman"/>
          <w:sz w:val="26"/>
          <w:szCs w:val="26"/>
        </w:rPr>
        <w:t xml:space="preserve">Правительства</w:t>
      </w:r>
      <w:r>
        <w:rPr>
          <w:rFonts w:ascii="Times New Roman" w:hAnsi="Times New Roman" w:cs="Times New Roman"/>
          <w:sz w:val="26"/>
          <w:szCs w:val="26"/>
        </w:rPr>
        <w:t xml:space="preserve">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, приказами министерств и ведомств, сводами правил, санитарными нормами, государственными стандартами и рекомендациями. Также в практике используются международные и негосударственные стандарты, системы сертификации устойчивого развития, «зеленого» </w:t>
      </w:r>
      <w:r>
        <w:rPr>
          <w:rFonts w:ascii="Times New Roman" w:hAnsi="Times New Roman" w:cs="Times New Roman"/>
          <w:sz w:val="26"/>
          <w:szCs w:val="26"/>
        </w:rPr>
        <w:t xml:space="preserve">и экологичного </w:t>
      </w:r>
      <w:r>
        <w:rPr>
          <w:rFonts w:ascii="Times New Roman" w:hAnsi="Times New Roman" w:cs="Times New Roman"/>
          <w:sz w:val="26"/>
          <w:szCs w:val="26"/>
        </w:rPr>
        <w:t xml:space="preserve">строительства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>
        <w:rPr>
          <w:rFonts w:ascii="Times New Roman" w:hAnsi="Times New Roman" w:cs="Times New Roman"/>
          <w:sz w:val="26"/>
          <w:szCs w:val="26"/>
        </w:rPr>
        <w:t xml:space="preserve">настоящем Перечне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можно</w:t>
      </w:r>
      <w:r>
        <w:rPr>
          <w:rFonts w:ascii="Times New Roman" w:hAnsi="Times New Roman" w:cs="Times New Roman"/>
          <w:sz w:val="26"/>
          <w:szCs w:val="26"/>
        </w:rPr>
        <w:t xml:space="preserve"> ознакомиться с </w:t>
      </w:r>
      <w:r>
        <w:rPr>
          <w:rFonts w:ascii="Times New Roman" w:hAnsi="Times New Roman" w:cs="Times New Roman"/>
          <w:sz w:val="26"/>
          <w:szCs w:val="26"/>
        </w:rPr>
        <w:t xml:space="preserve">основными </w:t>
      </w:r>
      <w:r>
        <w:rPr>
          <w:rFonts w:ascii="Times New Roman" w:hAnsi="Times New Roman" w:cs="Times New Roman"/>
          <w:sz w:val="26"/>
          <w:szCs w:val="26"/>
        </w:rPr>
        <w:t xml:space="preserve">нормативн</w:t>
      </w:r>
      <w:r>
        <w:rPr>
          <w:rFonts w:ascii="Times New Roman" w:hAnsi="Times New Roman" w:cs="Times New Roman"/>
          <w:sz w:val="26"/>
          <w:szCs w:val="26"/>
        </w:rPr>
        <w:t xml:space="preserve">ыми </w:t>
      </w:r>
      <w:r>
        <w:rPr>
          <w:rFonts w:ascii="Times New Roman" w:hAnsi="Times New Roman" w:cs="Times New Roman"/>
          <w:sz w:val="26"/>
          <w:szCs w:val="26"/>
        </w:rPr>
        <w:t xml:space="preserve">правовыми актами</w:t>
      </w:r>
      <w:r>
        <w:rPr>
          <w:rFonts w:ascii="Times New Roman" w:hAnsi="Times New Roman" w:cs="Times New Roman"/>
          <w:sz w:val="26"/>
          <w:szCs w:val="26"/>
        </w:rPr>
        <w:t xml:space="preserve"> в области экологии, природоохраны, «зеленого» строительства и </w:t>
      </w:r>
      <w:r>
        <w:rPr>
          <w:rFonts w:ascii="Times New Roman" w:hAnsi="Times New Roman" w:cs="Times New Roman"/>
          <w:sz w:val="26"/>
          <w:szCs w:val="26"/>
        </w:rPr>
        <w:t xml:space="preserve">ресурсосбережения</w:t>
      </w:r>
      <w:r>
        <w:rPr>
          <w:rFonts w:ascii="Times New Roman" w:hAnsi="Times New Roman" w:cs="Times New Roman"/>
          <w:sz w:val="26"/>
          <w:szCs w:val="26"/>
        </w:rPr>
        <w:t xml:space="preserve">, регулирующими отрасли строительства и туризма. При </w:t>
      </w:r>
      <w:r>
        <w:rPr>
          <w:rFonts w:ascii="Times New Roman" w:hAnsi="Times New Roman" w:cs="Times New Roman"/>
          <w:sz w:val="26"/>
          <w:szCs w:val="26"/>
        </w:rPr>
        <w:t xml:space="preserve">проектировании и </w:t>
      </w:r>
      <w:r>
        <w:rPr>
          <w:rFonts w:ascii="Times New Roman" w:hAnsi="Times New Roman" w:cs="Times New Roman"/>
          <w:sz w:val="26"/>
          <w:szCs w:val="26"/>
        </w:rPr>
        <w:t xml:space="preserve">строительстве объектов туристической инфраструктуры рекомендуется </w:t>
      </w:r>
      <w:r>
        <w:rPr>
          <w:rFonts w:ascii="Times New Roman" w:hAnsi="Times New Roman" w:cs="Times New Roman"/>
          <w:sz w:val="26"/>
          <w:szCs w:val="26"/>
        </w:rPr>
        <w:t xml:space="preserve">учитывать и </w:t>
      </w:r>
      <w:r>
        <w:rPr>
          <w:rFonts w:ascii="Times New Roman" w:hAnsi="Times New Roman" w:cs="Times New Roman"/>
          <w:sz w:val="26"/>
          <w:szCs w:val="26"/>
        </w:rPr>
        <w:t xml:space="preserve">использовать данные докуме</w:t>
      </w:r>
      <w:r>
        <w:rPr>
          <w:rFonts w:ascii="Times New Roman" w:hAnsi="Times New Roman" w:cs="Times New Roman"/>
          <w:sz w:val="26"/>
          <w:szCs w:val="26"/>
        </w:rPr>
        <w:t xml:space="preserve">нты.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sz w:val="26"/>
          <w:szCs w:val="26"/>
          <w:highlight w:val="none"/>
        </w:rPr>
      </w:pPr>
      <w:r>
        <w:rPr>
          <w:rFonts w:ascii="Times New Roman" w:hAnsi="Times New Roman" w:cs="Times New Roman"/>
          <w:sz w:val="26"/>
          <w:szCs w:val="26"/>
        </w:rPr>
        <w:t xml:space="preserve">АО «Корпорация </w:t>
      </w:r>
      <w:r>
        <w:rPr>
          <w:rFonts w:ascii="Times New Roman" w:hAnsi="Times New Roman" w:cs="Times New Roman"/>
          <w:sz w:val="26"/>
          <w:szCs w:val="26"/>
        </w:rPr>
        <w:t xml:space="preserve">Туризм.РФ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проанализировав</w:t>
      </w:r>
      <w:r>
        <w:rPr>
          <w:rFonts w:ascii="Times New Roman" w:hAnsi="Times New Roman" w:cs="Times New Roman"/>
          <w:sz w:val="26"/>
          <w:szCs w:val="26"/>
        </w:rPr>
        <w:t xml:space="preserve"> лучшие </w:t>
      </w:r>
      <w:r>
        <w:rPr>
          <w:rFonts w:ascii="Times New Roman" w:hAnsi="Times New Roman" w:cs="Times New Roman"/>
          <w:sz w:val="26"/>
          <w:szCs w:val="26"/>
        </w:rPr>
        <w:t xml:space="preserve">международные и российские </w:t>
      </w:r>
      <w:r>
        <w:rPr>
          <w:rFonts w:ascii="Times New Roman" w:hAnsi="Times New Roman" w:cs="Times New Roman"/>
          <w:sz w:val="26"/>
          <w:szCs w:val="26"/>
        </w:rPr>
        <w:t xml:space="preserve">практики «зеленого» строительства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сформировал</w:t>
      </w:r>
      <w:r>
        <w:rPr>
          <w:rFonts w:ascii="Times New Roman" w:hAnsi="Times New Roman" w:cs="Times New Roman"/>
          <w:sz w:val="26"/>
          <w:szCs w:val="26"/>
        </w:rPr>
        <w:t xml:space="preserve">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перечень </w:t>
      </w:r>
      <w:r>
        <w:rPr>
          <w:rFonts w:ascii="Times New Roman" w:hAnsi="Times New Roman" w:cs="Times New Roman"/>
          <w:sz w:val="26"/>
          <w:szCs w:val="26"/>
        </w:rPr>
        <w:t xml:space="preserve">базовы</w:t>
      </w:r>
      <w:r>
        <w:rPr>
          <w:rFonts w:ascii="Times New Roman" w:hAnsi="Times New Roman" w:cs="Times New Roman"/>
          <w:sz w:val="26"/>
          <w:szCs w:val="26"/>
        </w:rPr>
        <w:t xml:space="preserve">х</w:t>
      </w:r>
      <w:r>
        <w:rPr>
          <w:rFonts w:ascii="Times New Roman" w:hAnsi="Times New Roman" w:cs="Times New Roman"/>
          <w:sz w:val="26"/>
          <w:szCs w:val="26"/>
        </w:rPr>
        <w:t xml:space="preserve"> решени</w:t>
      </w:r>
      <w:r>
        <w:rPr>
          <w:rFonts w:ascii="Times New Roman" w:hAnsi="Times New Roman" w:cs="Times New Roman"/>
          <w:sz w:val="26"/>
          <w:szCs w:val="26"/>
        </w:rPr>
        <w:t xml:space="preserve">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нормами российского законодательства и принципами экономической и экологической целесообразности для объектов </w:t>
      </w:r>
      <w:r>
        <w:rPr>
          <w:rFonts w:ascii="Times New Roman" w:hAnsi="Times New Roman" w:cs="Times New Roman"/>
          <w:sz w:val="26"/>
          <w:szCs w:val="26"/>
        </w:rPr>
        <w:t xml:space="preserve">туристической </w:t>
      </w:r>
      <w:r>
        <w:rPr>
          <w:rFonts w:ascii="Times New Roman" w:hAnsi="Times New Roman" w:cs="Times New Roman"/>
          <w:sz w:val="26"/>
          <w:szCs w:val="26"/>
        </w:rPr>
        <w:t xml:space="preserve">инфраструктуры. </w:t>
      </w:r>
      <w:r>
        <w:rPr>
          <w:rFonts w:ascii="Times New Roman" w:hAnsi="Times New Roman" w:cs="Times New Roman"/>
          <w:sz w:val="26"/>
          <w:szCs w:val="26"/>
        </w:rPr>
        <w:t xml:space="preserve">Данные решения </w:t>
      </w:r>
      <w:r>
        <w:rPr>
          <w:rFonts w:ascii="Times New Roman" w:hAnsi="Times New Roman" w:cs="Times New Roman"/>
          <w:sz w:val="26"/>
          <w:szCs w:val="26"/>
        </w:rPr>
        <w:t xml:space="preserve">раскрывают и дополняют действующие строительные нормы</w:t>
      </w:r>
      <w:r>
        <w:rPr>
          <w:rFonts w:ascii="Times New Roman" w:hAnsi="Times New Roman" w:cs="Times New Roman"/>
          <w:sz w:val="26"/>
          <w:szCs w:val="26"/>
        </w:rPr>
        <w:t xml:space="preserve">, не требуют дополнительных финансовых затрат, либо требуют минимальных затрат, но создают комфортные условия и преимущества для </w:t>
      </w:r>
      <w:r>
        <w:rPr>
          <w:rFonts w:ascii="Times New Roman" w:hAnsi="Times New Roman" w:cs="Times New Roman"/>
          <w:sz w:val="26"/>
          <w:szCs w:val="26"/>
        </w:rPr>
        <w:t xml:space="preserve">застройщиков, операторов и </w:t>
      </w:r>
      <w:r>
        <w:rPr>
          <w:rFonts w:ascii="Times New Roman" w:hAnsi="Times New Roman" w:cs="Times New Roman"/>
          <w:sz w:val="26"/>
          <w:szCs w:val="26"/>
        </w:rPr>
        <w:t xml:space="preserve">пользователей объектов туристической инфраструктуры.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0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  <w:r>
        <w:rPr>
          <w:rFonts w:ascii="Times New Roman" w:hAnsi="Times New Roman" w:eastAsia="Times New Roman" w:cs="Times New Roman"/>
          <w:b/>
          <w:bCs/>
          <w:sz w:val="26"/>
          <w:szCs w:val="26"/>
        </w:rPr>
      </w:r>
    </w:p>
    <w:p>
      <w:pPr>
        <w:ind w:right="-35" w:firstLine="0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eastAsia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  <w:highlight w:val="none"/>
        </w:rPr>
      </w:r>
    </w:p>
    <w:p>
      <w:r/>
      <w:r/>
    </w:p>
    <w:p>
      <w:pPr>
        <w:pStyle w:val="603"/>
        <w:numPr>
          <w:ilvl w:val="0"/>
          <w:numId w:val="16"/>
        </w:numPr>
        <w:ind w:left="709" w:right="-35" w:hanging="709"/>
        <w:jc w:val="center"/>
        <w:spacing w:after="0" w:line="276" w:lineRule="auto"/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НОРМАТИВН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ЫЕ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ПРАВОВЫЕ АКТЫ И РЕКОМЕНДАЦИИ В ОБЛАСТИ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УСТОЙЧИВОГО РАЗВИТИЯ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И «ЗЕЛЕНОГО» СТРОИТЕЛЬСТВА</w:t>
      </w:r>
      <w:r>
        <w:rPr>
          <w:rStyle w:val="177"/>
          <w:rFonts w:ascii="Times New Roman" w:hAnsi="Times New Roman" w:cs="Times New Roman"/>
          <w:b/>
          <w:bCs/>
          <w:sz w:val="26"/>
          <w:szCs w:val="26"/>
        </w:rPr>
        <w:footnoteReference w:id="2"/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ФЕДЕРАЛЬНЫЕ ЗАКОНЫ И ПОСТАНОВЛЕНИЯ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pStyle w:val="603"/>
        <w:numPr>
          <w:ilvl w:val="0"/>
          <w:numId w:val="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Федеральный закон от 29.12.2004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190-ФЗ «Градостроительный кодекс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Федеральный закон от 10.01.2002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7-ФЗ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Об охране окружающей среды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Федеральный закон от 23.11.2009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261-ФЗ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Об энергосбережении и о повышении энергетической эффективности и 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Федеральный</w:t>
      </w:r>
      <w:r>
        <w:rPr>
          <w:rFonts w:ascii="Times New Roman" w:hAnsi="Times New Roman" w:cs="Times New Roman"/>
          <w:sz w:val="26"/>
          <w:szCs w:val="26"/>
        </w:rPr>
        <w:t xml:space="preserve"> закон от 23.11.1995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174-ФЗ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Об </w:t>
      </w:r>
      <w:r>
        <w:rPr>
          <w:rFonts w:ascii="Times New Roman" w:hAnsi="Times New Roman" w:cs="Times New Roman"/>
          <w:sz w:val="26"/>
          <w:szCs w:val="26"/>
        </w:rPr>
        <w:t xml:space="preserve">экологической</w:t>
      </w:r>
      <w:r>
        <w:rPr>
          <w:rFonts w:ascii="Times New Roman" w:hAnsi="Times New Roman" w:cs="Times New Roman"/>
          <w:sz w:val="26"/>
          <w:szCs w:val="26"/>
        </w:rPr>
        <w:t xml:space="preserve"> экспертизе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Федеральны</w:t>
      </w:r>
      <w:r>
        <w:rPr>
          <w:rFonts w:ascii="Times New Roman" w:hAnsi="Times New Roman" w:cs="Times New Roman"/>
          <w:sz w:val="26"/>
          <w:szCs w:val="26"/>
        </w:rPr>
        <w:t xml:space="preserve">й</w:t>
      </w:r>
      <w:r>
        <w:rPr>
          <w:rFonts w:ascii="Times New Roman" w:hAnsi="Times New Roman" w:cs="Times New Roman"/>
          <w:sz w:val="26"/>
          <w:szCs w:val="26"/>
        </w:rPr>
        <w:t xml:space="preserve"> закон от 14.03.1995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33-ФЗ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Об особо охраняемых природных территориях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Приказ Минприроды России от 01.12.2020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999</w:t>
      </w:r>
      <w:r>
        <w:rPr>
          <w:rFonts w:ascii="Times New Roman" w:hAnsi="Times New Roman" w:eastAsia="MS Gothic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«Об утверждении требований к материалам оценки воздействия на окружающую среду»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Правительства </w:t>
      </w:r>
      <w:r>
        <w:rPr>
          <w:rFonts w:ascii="Times New Roman" w:hAnsi="Times New Roman" w:cs="Times New Roman"/>
          <w:sz w:val="26"/>
          <w:szCs w:val="26"/>
        </w:rPr>
        <w:t xml:space="preserve">Российской Федерации</w:t>
      </w:r>
      <w:r>
        <w:rPr>
          <w:rFonts w:ascii="Times New Roman" w:hAnsi="Times New Roman" w:cs="Times New Roman"/>
          <w:sz w:val="26"/>
          <w:szCs w:val="26"/>
        </w:rPr>
        <w:t xml:space="preserve"> от 16.02.2008 </w:t>
      </w:r>
      <w:r>
        <w:rPr>
          <w:rFonts w:ascii="Times New Roman" w:hAnsi="Times New Roman" w:cs="Times New Roman"/>
          <w:sz w:val="26"/>
          <w:szCs w:val="26"/>
        </w:rPr>
        <w:t xml:space="preserve">№ </w:t>
      </w:r>
      <w:r>
        <w:rPr>
          <w:rFonts w:ascii="Times New Roman" w:hAnsi="Times New Roman" w:cs="Times New Roman"/>
          <w:sz w:val="26"/>
          <w:szCs w:val="26"/>
        </w:rPr>
        <w:t xml:space="preserve">87</w:t>
      </w:r>
      <w:r>
        <w:rPr>
          <w:rFonts w:ascii="Times New Roman" w:hAnsi="Times New Roman" w:eastAsia="MS Gothic" w:cs="Times New Roman"/>
          <w:sz w:val="26"/>
          <w:szCs w:val="26"/>
        </w:rPr>
        <w:t xml:space="preserve"> </w:t>
      </w:r>
      <w:r>
        <w:rPr>
          <w:rFonts w:ascii="Times New Roman" w:hAnsi="Times New Roman" w:eastAsia="MS Gothic" w:cs="Times New Roman"/>
          <w:sz w:val="26"/>
          <w:szCs w:val="26"/>
        </w:rPr>
        <w:br/>
      </w:r>
      <w:r>
        <w:rPr>
          <w:rFonts w:ascii="Times New Roman" w:hAnsi="Times New Roman" w:eastAsia="MS Gothic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О составе разделов </w:t>
      </w:r>
      <w:r>
        <w:rPr>
          <w:rFonts w:ascii="Times New Roman" w:hAnsi="Times New Roman" w:cs="Times New Roman"/>
          <w:sz w:val="26"/>
          <w:szCs w:val="26"/>
        </w:rPr>
        <w:t xml:space="preserve">проектной</w:t>
      </w:r>
      <w:r>
        <w:rPr>
          <w:rFonts w:ascii="Times New Roman" w:hAnsi="Times New Roman" w:cs="Times New Roman"/>
          <w:sz w:val="26"/>
          <w:szCs w:val="26"/>
        </w:rPr>
        <w:t xml:space="preserve"> документации и требованиях к их содержанию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pStyle w:val="603"/>
        <w:numPr>
          <w:ilvl w:val="0"/>
          <w:numId w:val="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Постановление Правительства</w:t>
      </w:r>
      <w:r>
        <w:rPr>
          <w:rFonts w:ascii="Times New Roman" w:hAnsi="Times New Roman" w:cs="Times New Roman"/>
          <w:sz w:val="26"/>
          <w:szCs w:val="26"/>
        </w:rPr>
        <w:t xml:space="preserve"> Российской Федерации от 21.09.2021 № 1587 «Об утверждении критериев проектов устойчивого (в том числе зеленого) развития в Российской Федерации и требований к системе верификации проектов устойчивого (в том числе зеленого) развития в Российской Федерации»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БАЗОВЫЕ СВОДЫ ПРАВИЛ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4"/>
        </w:numPr>
        <w:ind w:left="0" w:right="-35" w:firstLine="709"/>
        <w:jc w:val="both"/>
        <w:spacing w:after="0" w:line="276" w:lineRule="auto"/>
        <w:tabs>
          <w:tab w:val="left" w:pos="0" w:leader="none"/>
          <w:tab w:val="left" w:pos="709" w:leader="none"/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СП 47.13330.2016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Инженерные изыскания для строительства. </w:t>
      </w:r>
      <w:r>
        <w:rPr>
          <w:rFonts w:ascii="Times New Roman" w:hAnsi="Times New Roman" w:cs="Times New Roman"/>
          <w:sz w:val="26"/>
          <w:szCs w:val="26"/>
        </w:rPr>
        <w:t xml:space="preserve">Основные положения</w:t>
      </w:r>
      <w:r>
        <w:rPr>
          <w:rFonts w:ascii="Times New Roman" w:hAnsi="Times New Roman" w:cs="Times New Roman"/>
          <w:sz w:val="26"/>
          <w:szCs w:val="26"/>
        </w:rPr>
        <w:t xml:space="preserve">».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4"/>
        </w:numPr>
        <w:ind w:left="0" w:right="-35" w:firstLine="709"/>
        <w:jc w:val="both"/>
        <w:spacing w:after="0" w:line="276" w:lineRule="auto"/>
        <w:tabs>
          <w:tab w:val="left" w:pos="0" w:leader="none"/>
          <w:tab w:val="left" w:pos="709" w:leader="none"/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СП 502.1325800.2021 </w:t>
      </w:r>
      <w:r>
        <w:rPr>
          <w:rFonts w:ascii="Times New Roman" w:hAnsi="Times New Roman" w:cs="Times New Roman"/>
          <w:sz w:val="26"/>
          <w:szCs w:val="26"/>
        </w:rPr>
        <w:t xml:space="preserve">«Инженерно-экологические изыскания для строительства.</w:t>
      </w:r>
      <w:r>
        <w:rPr>
          <w:rFonts w:ascii="Times New Roman" w:hAnsi="Times New Roman" w:cs="Times New Roman"/>
          <w:sz w:val="26"/>
          <w:szCs w:val="26"/>
        </w:rPr>
        <w:t xml:space="preserve"> Общие правила производства работ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4"/>
        </w:numPr>
        <w:ind w:left="0" w:right="-35" w:firstLine="709"/>
        <w:jc w:val="both"/>
        <w:spacing w:after="0" w:line="276" w:lineRule="auto"/>
        <w:tabs>
          <w:tab w:val="left" w:pos="0" w:leader="none"/>
          <w:tab w:val="left" w:pos="709" w:leader="none"/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СП 257.1325800.2020 </w:t>
      </w:r>
      <w:r>
        <w:rPr>
          <w:rFonts w:ascii="Times New Roman" w:hAnsi="Times New Roman" w:cs="Times New Roman"/>
          <w:sz w:val="26"/>
          <w:szCs w:val="26"/>
        </w:rPr>
        <w:t xml:space="preserve">«Здания гостиниц. </w:t>
      </w:r>
      <w:r>
        <w:rPr>
          <w:rFonts w:ascii="Times New Roman" w:hAnsi="Times New Roman" w:cs="Times New Roman"/>
          <w:sz w:val="26"/>
          <w:szCs w:val="26"/>
        </w:rPr>
        <w:t xml:space="preserve">Правила проектирования</w:t>
      </w:r>
      <w:r>
        <w:rPr>
          <w:rFonts w:ascii="Times New Roman" w:hAnsi="Times New Roman" w:cs="Times New Roman"/>
          <w:sz w:val="26"/>
          <w:szCs w:val="26"/>
        </w:rPr>
        <w:t xml:space="preserve">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4"/>
        </w:numPr>
        <w:ind w:left="0" w:right="-35" w:firstLine="709"/>
        <w:jc w:val="both"/>
        <w:spacing w:after="0" w:line="276" w:lineRule="auto"/>
        <w:tabs>
          <w:tab w:val="left" w:pos="0" w:leader="none"/>
          <w:tab w:val="left" w:pos="709" w:leader="none"/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СП59.13330.2012</w:t>
      </w:r>
      <w:r>
        <w:rPr>
          <w:rFonts w:ascii="Times New Roman" w:hAnsi="Times New Roman" w:cs="Times New Roman"/>
          <w:sz w:val="26"/>
          <w:szCs w:val="26"/>
        </w:rPr>
        <w:t xml:space="preserve"> «Доступность зданий и сооружений для маломобильных групп населения»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ind w:right="-35" w:firstLine="709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-35" w:firstLine="709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-35" w:firstLine="709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-35" w:firstLine="709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</w:p>
    <w:p>
      <w:pPr>
        <w:ind w:right="-35" w:firstLine="0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ГОСУДАРСТВЕННЫЕ СТАНДАРТЫ 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pStyle w:val="603"/>
        <w:numPr>
          <w:ilvl w:val="0"/>
          <w:numId w:val="15"/>
        </w:numPr>
        <w:ind w:left="0"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Устойчивое развитие 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pStyle w:val="603"/>
        <w:numPr>
          <w:ilvl w:val="0"/>
          <w:numId w:val="11"/>
        </w:numPr>
        <w:ind w:left="0" w:right="-35" w:firstLine="709"/>
        <w:jc w:val="both"/>
        <w:spacing w:after="0" w:line="276" w:lineRule="auto"/>
        <w:tabs>
          <w:tab w:val="left" w:pos="142" w:leader="none"/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57274.1-2016 Устойчивое развитие в строительстве. Часть 1. Общие положения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1"/>
        </w:numPr>
        <w:ind w:left="0" w:right="-35" w:firstLine="709"/>
        <w:jc w:val="both"/>
        <w:spacing w:after="0" w:line="276" w:lineRule="auto"/>
        <w:tabs>
          <w:tab w:val="left" w:pos="142" w:leader="none"/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57274.2-2016 Устойчивое развитие в строительстве. Часть 2. Принципы оценки экологических показателей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1"/>
        </w:numPr>
        <w:ind w:left="0" w:right="-35" w:firstLine="709"/>
        <w:jc w:val="both"/>
        <w:spacing w:after="0" w:line="276" w:lineRule="auto"/>
        <w:tabs>
          <w:tab w:val="left" w:pos="142" w:leader="none"/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57274.3-2016 Устойчивое развитие в строительстве. Часть 3. Принципы оценки социальных показателей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1"/>
        </w:numPr>
        <w:ind w:left="0" w:right="-35" w:firstLine="709"/>
        <w:jc w:val="both"/>
        <w:spacing w:after="0" w:line="276" w:lineRule="auto"/>
        <w:tabs>
          <w:tab w:val="left" w:pos="142" w:leader="none"/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57274.4-2016 Устойчивое развитие в строительстве. Часть 4. Принципы оценки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экономических показателей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ind w:left="0" w:right="-35" w:firstLine="709"/>
        <w:jc w:val="both"/>
        <w:spacing w:after="0" w:line="276" w:lineRule="auto"/>
        <w:tabs>
          <w:tab w:val="left" w:pos="142" w:leader="none"/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5"/>
        </w:numPr>
        <w:ind w:left="0"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sz w:val="26"/>
          <w:szCs w:val="26"/>
        </w:rPr>
        <w:t xml:space="preserve">Охрана окружающей среды</w:t>
      </w: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603"/>
        <w:numPr>
          <w:ilvl w:val="0"/>
          <w:numId w:val="8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57635-2017</w:t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Туризм и услуги в сфере туризма. Рекомендации по разработке требований охраны окружающей среды для средств размещения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8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59782-2021 Охрана окружающей среды. Биологическое разнообразие. Рекомендации по формированию и реализации коммерческой организацией программы по сохранению биологического разнообразия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8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ИСО 14008-2019 Денежная оценка воздействия на окружающую среду и соответствующих экологических аспектов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ind w:left="0"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5"/>
        </w:numPr>
        <w:ind w:left="0"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sz w:val="26"/>
          <w:szCs w:val="26"/>
        </w:rPr>
        <w:t xml:space="preserve">«Зеленые» стандарты</w:t>
      </w: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603"/>
        <w:numPr>
          <w:ilvl w:val="0"/>
          <w:numId w:val="9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</w:t>
      </w:r>
      <w:r>
        <w:rPr>
          <w:rFonts w:ascii="Times New Roman" w:hAnsi="Times New Roman" w:cs="Times New Roman"/>
          <w:sz w:val="26"/>
          <w:szCs w:val="26"/>
        </w:rPr>
        <w:t xml:space="preserve">ОСТ Р 54964-2012 «Экологические требования к объектам недвижимости»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9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55654-2013 Проектирование зданий с учетом экологических требований. Внутренняя среда. Общие принципы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9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58875-2020 «Зеленые» стандарты. Озеленяемые и эксплуатируемые крыши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зданий и сооружений. Технические и экологические требования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9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59370-2021 «Зеленые» стандарты. Посадочный материал декоративных растений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9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70319-2022 «Зеленые» стандарты. Система сбора дождевой воды: очистка, хранение, использование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9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70339-2022 «Зеленые» стандарты. Финансирование строительной деятельности в целях устойчивого развития. Рамочные основы и принципы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9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70346-2022 «Зеленые» стандарты. Здания многоквартирные жилые «зеленые». Методика оценки и критерии проектирования, строительства и эксплуатации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9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ПНСТ 646-2022 «Зеленые» стандарты. «Зеленая» продукция и «зеленые» технологии. Методика оценки снижения углеродного следа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r>
        <w:rPr>
          <w:rFonts w:ascii="Times New Roman" w:hAnsi="Times New Roman" w:cs="Times New Roman"/>
          <w:bCs/>
          <w:sz w:val="26"/>
          <w:szCs w:val="26"/>
        </w:rPr>
        <w:t xml:space="preserve">ГОСТ Р 59403-2021 Услуги профессиональной уборки – клининговые услуги. Экологическая уборка. Общие технические требовани</w:t>
      </w:r>
      <w:r>
        <w:rPr>
          <w:rFonts w:ascii="Times New Roman" w:hAnsi="Times New Roman" w:cs="Times New Roman"/>
          <w:bCs/>
          <w:sz w:val="26"/>
          <w:szCs w:val="26"/>
        </w:rPr>
        <w:t xml:space="preserve">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Cera CY" w:hAnsi="Cera CY" w:cs="Arial"/>
          <w:b/>
          <w:color w:val="000000" w:themeColor="text1"/>
          <w:sz w:val="60"/>
          <w:szCs w:val="60"/>
          <w:lang w:eastAsia="ru-RU"/>
        </w:rPr>
      </w:r>
      <w:r>
        <w:rPr>
          <w:lang w:eastAsia="ru-RU"/>
        </w:rPr>
      </w:r>
      <w:r>
        <w:rPr>
          <w:lang w:eastAsia="ru-RU"/>
        </w:rPr>
      </w:r>
      <w:r/>
      <w:r/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/>
      <w:r/>
    </w:p>
    <w:p>
      <w:pPr>
        <w:pStyle w:val="603"/>
        <w:numPr>
          <w:ilvl w:val="0"/>
          <w:numId w:val="1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sz w:val="26"/>
          <w:szCs w:val="26"/>
        </w:rPr>
        <w:t xml:space="preserve">Ресурсосбережение</w:t>
      </w: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603"/>
        <w:numPr>
          <w:ilvl w:val="0"/>
          <w:numId w:val="10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ГОСТ Р 52104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– 2003 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Ресурсосбережение. Термины и определения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color w:val="000000" w:themeColor="text1"/>
          <w:sz w:val="26"/>
          <w:szCs w:val="26"/>
        </w:rPr>
      </w:r>
      <w:r/>
    </w:p>
    <w:p>
      <w:pPr>
        <w:pStyle w:val="1_2810"/>
        <w:numPr>
          <w:ilvl w:val="0"/>
          <w:numId w:val="10"/>
        </w:numPr>
        <w:ind w:left="0" w:right="-35"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1276" w:leader="none"/>
        </w:tabs>
      </w:pPr>
      <w:r>
        <w:rPr>
          <w:color w:val="000000" w:themeColor="text1"/>
          <w:sz w:val="26"/>
          <w:szCs w:val="26"/>
        </w:rPr>
        <w:t xml:space="preserve">ГОСТ Р 52106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-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2003 Ресурсосбережение. Общие положения</w:t>
      </w:r>
      <w:r>
        <w:rPr>
          <w:color w:val="000000" w:themeColor="text1"/>
          <w:sz w:val="26"/>
          <w:szCs w:val="26"/>
        </w:rPr>
        <w:t xml:space="preserve">.</w:t>
      </w:r>
      <w:r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</w:r>
      <w:r/>
    </w:p>
    <w:p>
      <w:pPr>
        <w:pStyle w:val="603"/>
        <w:numPr>
          <w:ilvl w:val="0"/>
          <w:numId w:val="10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52108-2003 Ресурсосбережение. Обращение с отходами. Основные положения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0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30772-2001</w:t>
      </w:r>
      <w:r>
        <w:rPr>
          <w:rFonts w:ascii="Times New Roman" w:hAnsi="Times New Roman" w:cs="Times New Roman"/>
          <w:bCs/>
          <w:sz w:val="26"/>
          <w:szCs w:val="26"/>
        </w:rPr>
        <w:tab/>
        <w:t xml:space="preserve">Ресурсосбережение. Обращение с отходами. Термины и определения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0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55088-2012 Ресурсосбережение. Обращение с отходами. Принципы рационального обращения с отходами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0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57678-2017 Ресурсосбережение. Обращение с отходами. Ликвидация строительных отходов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0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55103-2012 Ресурсосбережение. Эффективное управление ресурсами. Основные положения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0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56828.27-2017 Наилучшие доступные технологии. Ресурсосбережение. Методология обработки отходов в целях получения вторичных материальных ресурсов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0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56828.22-2017 Наилучшие доступные технологии. Ресурсосбережение. Стратегии, принципы и методы экологически ориентированного обращения с отходами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10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56828.4-2015 Наилучшие доступные технологии. Подходы к проведению сравнительного анализа </w:t>
      </w:r>
      <w:r>
        <w:rPr>
          <w:rFonts w:ascii="Times New Roman" w:hAnsi="Times New Roman" w:cs="Times New Roman"/>
          <w:bCs/>
          <w:sz w:val="26"/>
          <w:szCs w:val="26"/>
        </w:rPr>
        <w:t xml:space="preserve">ресурсоэффективности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 и экологической результативности предприятий для предупреждения или минимизации негативного воздействия на окружающую среду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  <w:r>
        <w:rPr>
          <w:rFonts w:ascii="Times New Roman" w:hAnsi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ind w:left="709" w:right="-35" w:firstLine="0"/>
        <w:jc w:val="center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sz w:val="26"/>
          <w:szCs w:val="26"/>
        </w:rPr>
        <w:t xml:space="preserve">Э</w:t>
      </w:r>
      <w:r>
        <w:rPr>
          <w:rFonts w:ascii="Times New Roman" w:hAnsi="Times New Roman" w:cs="Times New Roman"/>
          <w:b/>
          <w:sz w:val="26"/>
          <w:szCs w:val="26"/>
        </w:rPr>
        <w:t xml:space="preserve">нергосбережение и энергоэффективность</w:t>
      </w: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53905-2010 Энергосбережение. Термины и определения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31532</w:t>
      </w:r>
      <w:r>
        <w:rPr>
          <w:rFonts w:ascii="Times New Roman" w:hAnsi="Times New Roman" w:cs="Times New Roman"/>
          <w:bCs/>
          <w:sz w:val="26"/>
          <w:szCs w:val="26"/>
        </w:rPr>
        <w:t xml:space="preserve">-2012</w:t>
      </w:r>
      <w:r>
        <w:rPr>
          <w:rFonts w:ascii="Times New Roman" w:hAnsi="Times New Roman" w:cs="Times New Roman"/>
          <w:bCs/>
          <w:sz w:val="26"/>
          <w:szCs w:val="26"/>
        </w:rPr>
        <w:t xml:space="preserve"> Энергосбережение. Энергетическая эффективность. Состав показателей. Общие положения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31607</w:t>
      </w:r>
      <w:r>
        <w:rPr>
          <w:rFonts w:ascii="Times New Roman" w:hAnsi="Times New Roman" w:cs="Times New Roman"/>
          <w:bCs/>
          <w:sz w:val="26"/>
          <w:szCs w:val="26"/>
        </w:rPr>
        <w:t xml:space="preserve">-2012</w:t>
      </w:r>
      <w:r>
        <w:rPr>
          <w:rFonts w:ascii="Times New Roman" w:hAnsi="Times New Roman" w:cs="Times New Roman"/>
          <w:bCs/>
          <w:sz w:val="26"/>
          <w:szCs w:val="26"/>
        </w:rPr>
        <w:t xml:space="preserve"> Энергосбережение. Нормативно-методическое обеспечение. Основные положения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54862-2011 Энергоэффективность зданий.  Методы определения влияния автоматизации, управления и эксплуатации здания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56295-2014 Энергоэффективность зданий. Методика экономической оценки энергетических систем в зданиях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56743-2015 Измерение и верификация энергетической эффективности. Общие положения по определению экономии энергетических ресурсов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32498-2013 Здания и сооружения. Методы определения показателей энергетической</w:t>
      </w:r>
      <w:r>
        <w:rPr>
          <w:rFonts w:ascii="Times New Roman" w:hAnsi="Times New Roman" w:cs="Times New Roman"/>
          <w:bCs/>
          <w:sz w:val="26"/>
          <w:szCs w:val="26"/>
        </w:rPr>
        <w:t xml:space="preserve"> </w:t>
      </w:r>
      <w:r>
        <w:rPr>
          <w:rFonts w:ascii="Times New Roman" w:hAnsi="Times New Roman" w:cs="Times New Roman"/>
          <w:bCs/>
          <w:sz w:val="26"/>
          <w:szCs w:val="26"/>
        </w:rPr>
        <w:t xml:space="preserve">эффективности искусственного освещения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56502-2015 Системы обеспечения микроклимата новых зданий. Оценка энергетической эффективности при проектировании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ИСО 23045-2013 Проектирование систем обеспечения микроклимата здания. Руководящие указания по оценке энергетической эффективности новых зданий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31167-2009 Здания и сооружения. Методы определения воздухопроницаемости ограждающих конструкций в натурных условиях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57260-2016 Климатология строительная. Параметры для расчета естественного освещения с учетом распределения яркости по небосводу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56503-2015 Системы кондиционирования воздуха. Расчет затрат энергии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56828.24-2017 Наилучшие доступные технологии. Энергосбережение. Руководство по применению наилучших доступных технологий для повышения энергоэффективности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56917-2016 Измерение и верификация энергетической эффективности. Определение экономии энергетических ресурсов при эксплуатации отдельных видов оборудования (метод изоляции зоны модернизации)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7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59294-2021 Источники света, осветительные приборы и системы искусственного освещения.  Показатели энергоэффективности и требования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  <w:r>
        <w:rPr>
          <w:rFonts w:ascii="Times New Roman" w:hAnsi="Times New Roman" w:cs="Times New Roman"/>
          <w:bCs/>
          <w:sz w:val="26"/>
          <w:szCs w:val="26"/>
        </w:rPr>
      </w:r>
      <w:r>
        <w:rPr>
          <w:rFonts w:ascii="Times New Roman" w:hAnsi="Times New Roman" w:cs="Times New Roman"/>
          <w:bCs/>
          <w:sz w:val="26"/>
          <w:szCs w:val="26"/>
        </w:rPr>
      </w:r>
      <w:r/>
      <w:r>
        <w:rPr>
          <w:rFonts w:ascii="Times New Roman" w:hAnsi="Times New Roman" w:cs="Times New Roman"/>
          <w:bCs/>
          <w:sz w:val="26"/>
          <w:szCs w:val="26"/>
        </w:rPr>
      </w:r>
    </w:p>
    <w:p>
      <w:pPr>
        <w:pStyle w:val="603"/>
        <w:numPr>
          <w:ilvl w:val="0"/>
          <w:numId w:val="15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sz w:val="26"/>
          <w:szCs w:val="26"/>
        </w:rPr>
        <w:t xml:space="preserve">Экологический менеджмент</w:t>
      </w:r>
      <w:r>
        <w:rPr>
          <w:rFonts w:ascii="Times New Roman" w:hAnsi="Times New Roman" w:cs="Times New Roman"/>
          <w:b/>
          <w:sz w:val="26"/>
          <w:szCs w:val="26"/>
        </w:rPr>
      </w:r>
      <w:r/>
    </w:p>
    <w:p>
      <w:pPr>
        <w:pStyle w:val="603"/>
        <w:numPr>
          <w:ilvl w:val="0"/>
          <w:numId w:val="6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ИСО 14040 – 2010 Экологический менеджмент. Оценка жизненного цикла. Принципы и структура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6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ИСО 14044-2021 Экологический менеджмент. Оценка жизненного цикла. Требования и рекомендации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1_2810"/>
        <w:numPr>
          <w:ilvl w:val="0"/>
          <w:numId w:val="6"/>
        </w:numPr>
        <w:ind w:left="0" w:right="-35" w:firstLine="709"/>
        <w:jc w:val="both"/>
        <w:spacing w:before="0" w:beforeAutospacing="0" w:after="0" w:afterAutospacing="0" w:line="276" w:lineRule="auto"/>
        <w:shd w:val="clear" w:color="auto" w:fill="ffffff"/>
        <w:tabs>
          <w:tab w:val="left" w:pos="1276" w:leader="none"/>
        </w:tabs>
      </w:pPr>
      <w:r>
        <w:rPr>
          <w:bCs/>
          <w:color w:val="000000" w:themeColor="text1"/>
          <w:sz w:val="26"/>
          <w:szCs w:val="26"/>
        </w:rPr>
        <w:t xml:space="preserve">ГОСТ Р ИСО 14001-2007 Системы экологического менеджмента. Требования и руководство по применению</w:t>
      </w:r>
      <w:r>
        <w:rPr>
          <w:bCs/>
          <w:color w:val="000000" w:themeColor="text1"/>
          <w:sz w:val="26"/>
          <w:szCs w:val="26"/>
        </w:rPr>
        <w:t xml:space="preserve">.</w:t>
      </w:r>
      <w:r>
        <w:rPr>
          <w:bCs/>
          <w:color w:val="000000" w:themeColor="text1"/>
          <w:sz w:val="26"/>
          <w:szCs w:val="26"/>
        </w:rPr>
        <w:t xml:space="preserve"> </w:t>
      </w:r>
      <w:r>
        <w:rPr>
          <w:bCs/>
          <w:color w:val="000000" w:themeColor="text1"/>
          <w:sz w:val="26"/>
          <w:szCs w:val="26"/>
        </w:rPr>
      </w:r>
      <w:r/>
    </w:p>
    <w:p>
      <w:pPr>
        <w:pStyle w:val="603"/>
        <w:numPr>
          <w:ilvl w:val="0"/>
          <w:numId w:val="6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ИСО 14004-2017 Системы экологического менеджмента. Общие руководящие указания по внедрению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6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54135-2010 Экологический менеджмент. Руководство по применению организационных мер безопасности и оценки рисков. Защита экологических природных зон. Общие аспекты и мониторинг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6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54139-2010 Экологический менеджмент. Руководство по применению организационных мер безопасности и оценки рисков. Изменение климата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6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54134-2010 Экологический менеджмент. Руководство по применению организационных мер безопасности и оценки рисков. Выбросы парниковых газов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6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14.09-2005 Экологический менеджмент. Руководство по оценке риска в области экологического менеджмента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6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ИСО 14031-2016 Экологический менеджмент. Оценка экологической эффективности. Руководство по оценке экологической эффективности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pStyle w:val="603"/>
        <w:numPr>
          <w:ilvl w:val="0"/>
          <w:numId w:val="6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Cs/>
          <w:sz w:val="26"/>
          <w:szCs w:val="26"/>
        </w:rPr>
        <w:t xml:space="preserve">ГОСТ Р ИСО 14007-2020 Экологический менеджмент. Руководящие указания по определению экологических затрат и выгод</w:t>
      </w:r>
      <w:r>
        <w:rPr>
          <w:rFonts w:ascii="Times New Roman" w:hAnsi="Times New Roman" w:cs="Times New Roman"/>
          <w:bCs/>
          <w:sz w:val="26"/>
          <w:szCs w:val="26"/>
        </w:rPr>
        <w:t xml:space="preserve">.</w:t>
      </w:r>
      <w:r>
        <w:rPr>
          <w:rFonts w:ascii="Times New Roman" w:hAnsi="Times New Roman" w:cs="Times New Roman"/>
          <w:bCs/>
          <w:sz w:val="26"/>
          <w:szCs w:val="26"/>
        </w:rPr>
      </w:r>
      <w:r/>
    </w:p>
    <w:p>
      <w:pPr>
        <w:ind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ДОБРОВОЛЬНАЯ СЕРТИФИКАЦИЯ И СТАНДАРТЫ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2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IRIIS. Система оценки качества и сертификации инфраструктурных проектов ВЭБ.РФ. Объекты оценки: транспортная инфраструктура, инженерная инфраструктура, социальная инфраструктура, объекты энергетики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2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Green Zoom «Туристская индустрия». Формирование на</w:t>
      </w:r>
      <w:r>
        <w:rPr>
          <w:rFonts w:ascii="Times New Roman" w:hAnsi="Times New Roman" w:cs="Times New Roman"/>
          <w:sz w:val="26"/>
          <w:szCs w:val="26"/>
        </w:rPr>
        <w:t xml:space="preserve">ционального стандарта устойчивого развития туристской̆ инфраструктуры. Система добровольной сертификации туристской инфраструктуры Автономной некоммерческой организация «Научно-исследовательский Институт устойчивого развития в строительстве» (АНО «НИИУРС»)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2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Стандарт СТО-56171713-007-2020 «Услуги средств размещения». Система добровольной экологической сертификации продукции, работ и услуг по их жизненному циклу «Листок жизни»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2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Стандарт СТО-56171713-043-2021 «Услуги общественного питания». Система добровольной экологической сертификации продукции, работ и услуг по их жизненному циклу «Листок жизни»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2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Стандарт СТО НОСТРОЙ 2.35.4-2011. Здания жилые и общественные. Рейтинговая система оценки устойчивости среды обитания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2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Стандарт СТО НОСТРОЙ 2.35.68-2012. Здания жилые и общественные. Учет региональных особенностей̆ в рейтинговой̆ системе оценки устойчивости среды обитания. </w:t>
      </w:r>
      <w:r>
        <w:rPr>
          <w:rFonts w:ascii="Times New Roman" w:hAnsi="Times New Roman" w:cs="Times New Roman"/>
          <w:sz w:val="26"/>
          <w:szCs w:val="26"/>
        </w:rPr>
      </w:r>
      <w:r/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sz w:val="26"/>
          <w:szCs w:val="26"/>
        </w:rPr>
      </w:r>
    </w:p>
    <w:p>
      <w:pPr>
        <w:ind w:right="-35" w:firstLine="0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  <w:r>
        <w:rPr>
          <w:rFonts w:ascii="Times New Roman" w:hAnsi="Times New Roman" w:cs="Times New Roman"/>
          <w:b/>
          <w:bCs/>
          <w:sz w:val="26"/>
          <w:szCs w:val="26"/>
          <w:highlight w:val="none"/>
        </w:rPr>
      </w:r>
    </w:p>
    <w:p>
      <w:pPr>
        <w:ind w:right="-35" w:firstLine="0"/>
        <w:jc w:val="center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b/>
          <w:bCs/>
          <w:sz w:val="26"/>
          <w:szCs w:val="26"/>
          <w:highlight w:val="none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РУКОВОДСТВА И МЕТОДИЧЕСКИЕ РЕКОМЕНДАЦИИ</w:t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ind w:right="-35" w:firstLine="709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b/>
          <w:bCs/>
          <w:sz w:val="26"/>
          <w:szCs w:val="26"/>
        </w:rPr>
      </w:r>
      <w:r>
        <w:rPr>
          <w:rFonts w:ascii="Times New Roman" w:hAnsi="Times New Roman" w:cs="Times New Roman"/>
          <w:b/>
          <w:bCs/>
          <w:sz w:val="26"/>
          <w:szCs w:val="26"/>
        </w:rPr>
      </w:r>
      <w:r/>
    </w:p>
    <w:p>
      <w:pPr>
        <w:pStyle w:val="603"/>
        <w:numPr>
          <w:ilvl w:val="0"/>
          <w:numId w:val="13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Практические рекомендации по снижению энергоемкости и повышению экологичности объектов туристской индустрии «Green Zoom»</w:t>
      </w:r>
      <w:r>
        <w:rPr>
          <w:rFonts w:ascii="Times New Roman" w:hAnsi="Times New Roman" w:cs="Times New Roman"/>
          <w:sz w:val="26"/>
          <w:szCs w:val="26"/>
        </w:rPr>
        <w:t xml:space="preserve">, 2022 </w:t>
      </w:r>
      <w:r>
        <w:rPr>
          <w:rFonts w:ascii="Times New Roman" w:hAnsi="Times New Roman" w:cs="Times New Roman"/>
          <w:sz w:val="26"/>
          <w:szCs w:val="26"/>
        </w:rPr>
        <w:t xml:space="preserve">г. Автор: </w:t>
      </w:r>
      <w:r>
        <w:rPr>
          <w:rFonts w:ascii="Times New Roman" w:hAnsi="Times New Roman" w:cs="Times New Roman"/>
          <w:sz w:val="26"/>
          <w:szCs w:val="26"/>
        </w:rPr>
        <w:t xml:space="preserve">АНО «НИИУРС»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3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Практические рекомендации по комплексному и устойчивому развитию территорий «Green Zoom»</w:t>
      </w:r>
      <w:r>
        <w:rPr>
          <w:rFonts w:ascii="Times New Roman" w:hAnsi="Times New Roman" w:cs="Times New Roman"/>
          <w:sz w:val="26"/>
          <w:szCs w:val="26"/>
        </w:rPr>
        <w:t xml:space="preserve">,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20</w:t>
      </w:r>
      <w:r>
        <w:rPr>
          <w:rFonts w:ascii="Times New Roman" w:hAnsi="Times New Roman" w:cs="Times New Roman"/>
          <w:sz w:val="26"/>
          <w:szCs w:val="26"/>
        </w:rPr>
        <w:t xml:space="preserve">18</w:t>
      </w:r>
      <w:r>
        <w:rPr>
          <w:rFonts w:ascii="Times New Roman" w:hAnsi="Times New Roman" w:cs="Times New Roman"/>
          <w:sz w:val="26"/>
          <w:szCs w:val="26"/>
        </w:rPr>
        <w:t xml:space="preserve"> г. </w:t>
      </w:r>
      <w:r>
        <w:rPr>
          <w:rFonts w:ascii="Times New Roman" w:hAnsi="Times New Roman" w:cs="Times New Roman"/>
          <w:sz w:val="26"/>
          <w:szCs w:val="26"/>
        </w:rPr>
        <w:t xml:space="preserve">Автор: </w:t>
      </w:r>
      <w:r>
        <w:rPr>
          <w:rFonts w:ascii="Times New Roman" w:hAnsi="Times New Roman" w:cs="Times New Roman"/>
          <w:sz w:val="26"/>
          <w:szCs w:val="26"/>
        </w:rPr>
        <w:t xml:space="preserve">АНО «НИИУРС»</w:t>
      </w:r>
      <w:r>
        <w:rPr>
          <w:rFonts w:ascii="Times New Roman" w:hAnsi="Times New Roman" w:cs="Times New Roman"/>
          <w:sz w:val="26"/>
          <w:szCs w:val="26"/>
        </w:rPr>
        <w:t xml:space="preserve">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3"/>
        </w:numPr>
        <w:ind w:left="0" w:right="-35" w:firstLine="709"/>
        <w:jc w:val="both"/>
        <w:spacing w:after="0" w:line="276" w:lineRule="auto"/>
        <w:tabs>
          <w:tab w:val="left" w:pos="1276" w:leader="none"/>
        </w:tabs>
      </w:pPr>
      <w:r>
        <w:rPr>
          <w:rFonts w:ascii="Times New Roman" w:hAnsi="Times New Roman" w:cs="Times New Roman"/>
          <w:sz w:val="26"/>
          <w:szCs w:val="26"/>
        </w:rPr>
        <w:t xml:space="preserve">Руководство курорта «Роза Хутор» по проектированию, строительству, эксплуатации туристской инфраструктуры «</w:t>
      </w:r>
      <w:r>
        <w:rPr>
          <w:rFonts w:ascii="Times New Roman" w:hAnsi="Times New Roman" w:cs="Times New Roman"/>
          <w:sz w:val="26"/>
          <w:szCs w:val="26"/>
        </w:rPr>
        <w:t xml:space="preserve">Зеленый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код»</w:t>
      </w:r>
      <w:r>
        <w:rPr>
          <w:rFonts w:ascii="Times New Roman" w:hAnsi="Times New Roman" w:cs="Times New Roman"/>
          <w:sz w:val="26"/>
          <w:szCs w:val="26"/>
        </w:rPr>
        <w:t xml:space="preserve">, 2022 г.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Автор: </w:t>
      </w:r>
      <w:r>
        <w:rPr>
          <w:rFonts w:ascii="Times New Roman" w:hAnsi="Times New Roman" w:cs="Times New Roman"/>
          <w:sz w:val="26"/>
          <w:szCs w:val="26"/>
        </w:rPr>
        <w:t xml:space="preserve">ООО </w:t>
      </w:r>
      <w:r>
        <w:rPr>
          <w:rFonts w:ascii="Times New Roman" w:hAnsi="Times New Roman" w:cs="Times New Roman"/>
          <w:sz w:val="26"/>
          <w:szCs w:val="26"/>
        </w:rPr>
        <w:t xml:space="preserve">«</w:t>
      </w:r>
      <w:r>
        <w:rPr>
          <w:rFonts w:ascii="Times New Roman" w:hAnsi="Times New Roman" w:cs="Times New Roman"/>
          <w:sz w:val="26"/>
          <w:szCs w:val="26"/>
        </w:rPr>
        <w:t xml:space="preserve">Роза Хутор</w:t>
      </w:r>
      <w:r>
        <w:rPr>
          <w:rFonts w:ascii="Times New Roman" w:hAnsi="Times New Roman" w:cs="Times New Roman"/>
          <w:sz w:val="26"/>
          <w:szCs w:val="26"/>
        </w:rPr>
        <w:t xml:space="preserve">».</w:t>
      </w:r>
      <w:r>
        <w:rPr>
          <w:rFonts w:ascii="Times New Roman" w:hAnsi="Times New Roman" w:cs="Times New Roman"/>
          <w:sz w:val="26"/>
          <w:szCs w:val="26"/>
        </w:rPr>
      </w:r>
      <w:r/>
    </w:p>
    <w:p>
      <w:pPr>
        <w:pStyle w:val="603"/>
        <w:numPr>
          <w:ilvl w:val="0"/>
          <w:numId w:val="13"/>
        </w:numPr>
        <w:ind w:left="0" w:right="-35" w:firstLine="709"/>
        <w:jc w:val="both"/>
        <w:spacing w:after="0" w:line="276" w:lineRule="auto"/>
        <w:tabs>
          <w:tab w:val="left" w:pos="1276" w:leader="none"/>
        </w:tabs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sz w:val="26"/>
          <w:szCs w:val="26"/>
        </w:rPr>
        <w:t xml:space="preserve">Методические рекомендации по внедрению механизмов и принципов устойчивого развития в индустрии гостеприимства и туризме в России</w:t>
      </w:r>
      <w:r>
        <w:rPr>
          <w:rFonts w:ascii="Times New Roman" w:hAnsi="Times New Roman" w:cs="Times New Roman"/>
          <w:sz w:val="26"/>
          <w:szCs w:val="26"/>
        </w:rPr>
        <w:t xml:space="preserve">, 2022 г</w:t>
      </w:r>
      <w:r>
        <w:rPr>
          <w:rFonts w:ascii="Times New Roman" w:hAnsi="Times New Roman" w:cs="Times New Roman"/>
          <w:sz w:val="26"/>
          <w:szCs w:val="26"/>
        </w:rPr>
        <w:t xml:space="preserve">. Авторы: ESG-лаборатория МГУ, Национальное Рейтинговое Агентство (НРА), Экспертный совет Комитета Государственной Думы по туризму и развитию туристической инфраструктуры.</w:t>
      </w:r>
      <w:r>
        <w:rPr>
          <w:rFonts w:ascii="Times New Roman" w:hAnsi="Times New Roman" w:cs="Times New Roman"/>
          <w:sz w:val="26"/>
          <w:szCs w:val="26"/>
        </w:rPr>
      </w:r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S Gothic">
    <w:panose1 w:val="020B06060202020A0204"/>
  </w:font>
  <w:font w:name="AppleSystemUIFont">
    <w:panose1 w:val="02000603000000000000"/>
  </w:font>
  <w:font w:name="Cera CY">
    <w:panose1 w:val="00000500000000000000"/>
  </w:font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  <w:footnote w:id="2">
    <w:p>
      <w:pPr>
        <w:pStyle w:val="175"/>
        <w:rPr>
          <w:rFonts w:ascii="Times New Roman" w:hAnsi="Times New Roman" w:cs="Times New Roman"/>
        </w:rPr>
      </w:pPr>
      <w:r>
        <w:rPr>
          <w:rStyle w:val="177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Расширенный перечень нормативн</w:t>
      </w:r>
      <w:r>
        <w:rPr>
          <w:rFonts w:ascii="Times New Roman" w:hAnsi="Times New Roman" w:cs="Times New Roman"/>
        </w:rPr>
        <w:t xml:space="preserve">ых </w:t>
      </w:r>
      <w:r>
        <w:rPr>
          <w:rFonts w:ascii="Times New Roman" w:hAnsi="Times New Roman" w:cs="Times New Roman"/>
        </w:rPr>
        <w:t xml:space="preserve">правовых актов представлен в приложении</w:t>
      </w:r>
      <w:r>
        <w:rPr>
          <w:rFonts w:ascii="Times New Roman" w:hAnsi="Times New Roman" w:cs="Times New Roman"/>
        </w:rPr>
        <w:t xml:space="preserve"> к настоящему Перечню</w:t>
      </w:r>
      <w:r>
        <w:rPr>
          <w:rFonts w:ascii="Times New Roman" w:hAnsi="Times New Roman" w:cs="Times New Roman"/>
        </w:rPr>
        <w:t xml:space="preserve">.</w:t>
      </w:r>
      <w:r>
        <w:rPr>
          <w:rFonts w:ascii="Times New Roman" w:hAnsi="Times New Roman" w:cs="Times New Roman"/>
        </w:rPr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854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74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94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14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734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454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74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94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14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852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572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292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12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732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452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172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892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12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3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5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81" w:hanging="180"/>
      </w:pPr>
    </w:lvl>
  </w:abstractNum>
  <w:abstractNum w:abstractNumId="3">
    <w:multiLevelType w:val="hybridMultilevel"/>
    <w:lvl w:ilvl="0">
      <w:start w:val="7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173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05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62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34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606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78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50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822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94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665" w:hanging="180"/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3981" w:hanging="72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434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506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578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650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722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794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866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938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599"/>
    <w:next w:val="599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599"/>
    <w:next w:val="599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599"/>
    <w:next w:val="599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599"/>
    <w:next w:val="599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599"/>
    <w:next w:val="599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599"/>
    <w:next w:val="599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599"/>
    <w:next w:val="599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599"/>
    <w:next w:val="599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599"/>
    <w:next w:val="599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4">
    <w:name w:val="Title"/>
    <w:basedOn w:val="599"/>
    <w:next w:val="599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599"/>
    <w:next w:val="599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599"/>
    <w:next w:val="599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599"/>
    <w:next w:val="599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599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599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599"/>
    <w:next w:val="59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8">
    <w:name w:val="Table Grid"/>
    <w:basedOn w:val="60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0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0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8">
    <w:name w:val="List Table 7 Colorful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9">
    <w:name w:val="List Table 7 Colorful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50">
    <w:name w:val="List Table 7 Colorful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1">
    <w:name w:val="List Table 7 Colorful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2">
    <w:name w:val="List Table 7 Colorful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3">
    <w:name w:val="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5">
    <w:name w:val="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6">
    <w:name w:val="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7">
    <w:name w:val="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8">
    <w:name w:val="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9">
    <w:name w:val="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0">
    <w:name w:val="Bordered &amp; Lined - Accent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2">
    <w:name w:val="Bordered &amp; Lined - Accent 2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3">
    <w:name w:val="Bordered &amp; Lined - Accent 3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4">
    <w:name w:val="Bordered &amp; Lined - Accent 4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5">
    <w:name w:val="Bordered &amp; Lined - Accent 5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6">
    <w:name w:val="Bordered &amp; Lined - Accent 6"/>
    <w:basedOn w:val="60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7">
    <w:name w:val="Bordered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0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599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599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599"/>
    <w:next w:val="599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599"/>
    <w:next w:val="599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599"/>
    <w:next w:val="599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599"/>
    <w:next w:val="599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599"/>
    <w:next w:val="599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599"/>
    <w:next w:val="599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599"/>
    <w:next w:val="599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599"/>
    <w:next w:val="599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599"/>
    <w:next w:val="599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599"/>
    <w:next w:val="599"/>
    <w:uiPriority w:val="99"/>
    <w:unhideWhenUsed/>
    <w:pPr>
      <w:spacing w:after="0" w:afterAutospacing="0"/>
    </w:pPr>
  </w:style>
  <w:style w:type="paragraph" w:styleId="599" w:default="1">
    <w:name w:val="Normal"/>
    <w:qFormat/>
  </w:style>
  <w:style w:type="table" w:styleId="60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1" w:default="1">
    <w:name w:val="No List"/>
    <w:uiPriority w:val="99"/>
    <w:semiHidden/>
    <w:unhideWhenUsed/>
  </w:style>
  <w:style w:type="paragraph" w:styleId="602">
    <w:name w:val="No Spacing"/>
    <w:basedOn w:val="599"/>
    <w:uiPriority w:val="1"/>
    <w:qFormat/>
    <w:pPr>
      <w:spacing w:after="0" w:line="240" w:lineRule="auto"/>
    </w:pPr>
  </w:style>
  <w:style w:type="paragraph" w:styleId="603">
    <w:name w:val="List Paragraph"/>
    <w:basedOn w:val="599"/>
    <w:uiPriority w:val="34"/>
    <w:qFormat/>
    <w:pPr>
      <w:contextualSpacing/>
      <w:ind w:left="720"/>
    </w:pPr>
  </w:style>
  <w:style w:type="character" w:styleId="608" w:default="1">
    <w:name w:val="Default Paragraph Font"/>
    <w:uiPriority w:val="1"/>
    <w:semiHidden/>
    <w:unhideWhenUsed/>
  </w:style>
  <w:style w:type="paragraph" w:styleId="1_2810" w:customStyle="1">
    <w:name w:val="Normal (Web)"/>
    <w:basedOn w:val="860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Relationship Id="rId10" Type="http://schemas.openxmlformats.org/officeDocument/2006/relationships/image" Target="media/image2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Р7-Офис/7.3.0.0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2023-10-17T12:26:22Z</dcterms:modified>
</cp:coreProperties>
</file>